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80" w:after="40"/>
      </w:pPr>
      <w:r>
        <w:rPr>
          <w:rFonts w:ascii="Arial" w:hAnsi="Arial"/>
          <w:b/>
          <w:i w:val="0"/>
          <w:color w:val="0B1F33"/>
          <w:sz w:val="56"/>
        </w:rPr>
        <w:t>David Stott, MBA</w:t>
      </w:r>
    </w:p>
    <w:p>
      <w:pPr>
        <w:spacing w:after="40"/>
      </w:pPr>
      <w:r>
        <w:rPr>
          <w:rFonts w:ascii="Arial" w:hAnsi="Arial"/>
          <w:b/>
          <w:i w:val="0"/>
          <w:color w:val="A17F48"/>
          <w:sz w:val="26"/>
        </w:rPr>
        <w:t>Enterprise AI &amp; Salesforce Transformation Executive</w:t>
      </w:r>
    </w:p>
    <w:p>
      <w:pPr>
        <w:spacing w:after="100"/>
      </w:pPr>
      <w:r>
        <w:rPr>
          <w:rFonts w:ascii="Arial" w:hAnsi="Arial"/>
          <w:b w:val="0"/>
          <w:i w:val="0"/>
          <w:color w:val="262B30"/>
          <w:sz w:val="21"/>
        </w:rPr>
        <w:t>Forward Deployed Engineer  •  Enterprise Architect  •  Executive Advisor</w:t>
      </w:r>
    </w:p>
    <w:p>
      <w:pPr>
        <w:spacing w:after="160"/>
      </w:pPr>
      <w:r>
        <w:rPr>
          <w:rFonts w:ascii="Arial" w:hAnsi="Arial"/>
          <w:b w:val="0"/>
          <w:i w:val="0"/>
          <w:color w:val="5E6469"/>
          <w:sz w:val="18"/>
        </w:rPr>
        <w:t>linkedin.com/in/david-stott-mba</w:t>
      </w:r>
    </w:p>
    <w:p>
      <w:pPr>
        <w:pStyle w:val="Heading1"/>
        <w:keepNext/>
        <w:pBdr>
          <w:bottom w:val="single" w:sz="10" w:space="4" w:color="A17F48"/>
        </w:pBdr>
      </w:pPr>
      <w:r>
        <w:t>EXECUTIVE PROFILE</w:t>
      </w:r>
    </w:p>
    <w:p>
      <w:pPr>
        <w:spacing w:after="100" w:line="264" w:lineRule="auto"/>
      </w:pPr>
      <w:r>
        <w:rPr>
          <w:rFonts w:ascii="Arial" w:hAnsi="Arial"/>
          <w:b w:val="0"/>
          <w:i w:val="0"/>
          <w:color w:val="262B30"/>
          <w:sz w:val="20"/>
        </w:rPr>
        <w:t>Business-first executive with more than 25 years of leadership across enterprise transformation, Salesforce strategy, artificial intelligence, enterprise architecture, delivery governance, and operating-model change. Connects executive intent to enterprise-scale execution and helps leaders restore confidence in complex programs, strengthen organizational capability, and improve customer outcomes.</w:t>
      </w:r>
    </w:p>
    <w:p>
      <w:pPr>
        <w:pStyle w:val="Heading1"/>
        <w:keepNext/>
        <w:pBdr>
          <w:bottom w:val="single" w:sz="10" w:space="4" w:color="A17F48"/>
        </w:pBdr>
      </w:pPr>
      <w:r>
        <w:t>LEADERSHIP FOCUS</w:t>
      </w:r>
    </w:p>
    <w:p>
      <w:pPr>
        <w:spacing w:after="60" w:line="264" w:lineRule="auto"/>
      </w:pPr>
      <w:r>
        <w:rPr>
          <w:rFonts w:ascii="Arial" w:hAnsi="Arial"/>
          <w:b/>
          <w:i w:val="0"/>
          <w:color w:val="0B1F33"/>
          <w:sz w:val="20"/>
        </w:rPr>
        <w:t xml:space="preserve">Enterprise Transformation — </w:t>
      </w:r>
      <w:r>
        <w:rPr>
          <w:rFonts w:ascii="Arial" w:hAnsi="Arial"/>
          <w:b w:val="0"/>
          <w:i w:val="0"/>
          <w:color w:val="262B30"/>
          <w:sz w:val="20"/>
        </w:rPr>
        <w:t>Align strategy, operating models, governance, architecture, and execution around measurable outcomes.</w:t>
      </w:r>
    </w:p>
    <w:p>
      <w:pPr>
        <w:spacing w:after="60" w:line="264" w:lineRule="auto"/>
      </w:pPr>
      <w:r>
        <w:rPr>
          <w:rFonts w:ascii="Arial" w:hAnsi="Arial"/>
          <w:b/>
          <w:i w:val="0"/>
          <w:color w:val="0B1F33"/>
          <w:sz w:val="20"/>
        </w:rPr>
        <w:t xml:space="preserve">Salesforce Strategy — </w:t>
      </w:r>
      <w:r>
        <w:rPr>
          <w:rFonts w:ascii="Arial" w:hAnsi="Arial"/>
          <w:b w:val="0"/>
          <w:i w:val="0"/>
          <w:color w:val="262B30"/>
          <w:sz w:val="20"/>
        </w:rPr>
        <w:t>Treat Salesforce as an enterprise capability spanning platform direction, data, integration, delivery, and adoption.</w:t>
      </w:r>
    </w:p>
    <w:p>
      <w:pPr>
        <w:spacing w:after="60" w:line="264" w:lineRule="auto"/>
      </w:pPr>
      <w:r>
        <w:rPr>
          <w:rFonts w:ascii="Arial" w:hAnsi="Arial"/>
          <w:b/>
          <w:i w:val="0"/>
          <w:color w:val="0B1F33"/>
          <w:sz w:val="20"/>
        </w:rPr>
        <w:t xml:space="preserve">AI Leadership — </w:t>
      </w:r>
      <w:r>
        <w:rPr>
          <w:rFonts w:ascii="Arial" w:hAnsi="Arial"/>
          <w:b w:val="0"/>
          <w:i w:val="0"/>
          <w:color w:val="262B30"/>
          <w:sz w:val="20"/>
        </w:rPr>
        <w:t>Advance governed, production-ready AI and Agentforce use cases with human accountability and business value at the center.</w:t>
      </w:r>
    </w:p>
    <w:p>
      <w:pPr>
        <w:spacing w:after="60" w:line="264" w:lineRule="auto"/>
      </w:pPr>
      <w:r>
        <w:rPr>
          <w:rFonts w:ascii="Arial" w:hAnsi="Arial"/>
          <w:b/>
          <w:i w:val="0"/>
          <w:color w:val="0B1F33"/>
          <w:sz w:val="20"/>
        </w:rPr>
        <w:t xml:space="preserve">Delivery Governance — </w:t>
      </w:r>
      <w:r>
        <w:rPr>
          <w:rFonts w:ascii="Arial" w:hAnsi="Arial"/>
          <w:b w:val="0"/>
          <w:i w:val="0"/>
          <w:color w:val="262B30"/>
          <w:sz w:val="20"/>
        </w:rPr>
        <w:t>Create the controls, decision rights, partner alignment, and executive visibility required for dependable delivery.</w:t>
      </w:r>
    </w:p>
    <w:p>
      <w:pPr>
        <w:spacing w:after="60" w:line="264" w:lineRule="auto"/>
      </w:pPr>
      <w:r>
        <w:rPr>
          <w:rFonts w:ascii="Arial" w:hAnsi="Arial"/>
          <w:b/>
          <w:i w:val="0"/>
          <w:color w:val="0B1F33"/>
          <w:sz w:val="20"/>
        </w:rPr>
        <w:t xml:space="preserve">Executive Advisory — </w:t>
      </w:r>
      <w:r>
        <w:rPr>
          <w:rFonts w:ascii="Arial" w:hAnsi="Arial"/>
          <w:b w:val="0"/>
          <w:i w:val="0"/>
          <w:color w:val="262B30"/>
          <w:sz w:val="20"/>
        </w:rPr>
        <w:t>Translate complexity into clearer choices across strategy, architecture, risk, investment, and organizational change.</w:t>
      </w:r>
    </w:p>
    <w:p>
      <w:pPr>
        <w:spacing w:after="60" w:line="264" w:lineRule="auto"/>
      </w:pPr>
      <w:r>
        <w:rPr>
          <w:rFonts w:ascii="Arial" w:hAnsi="Arial"/>
          <w:b/>
          <w:i w:val="0"/>
          <w:color w:val="0B1F33"/>
          <w:sz w:val="20"/>
        </w:rPr>
        <w:t xml:space="preserve">Customer Outcomes — </w:t>
      </w:r>
      <w:r>
        <w:rPr>
          <w:rFonts w:ascii="Arial" w:hAnsi="Arial"/>
          <w:b w:val="0"/>
          <w:i w:val="0"/>
          <w:color w:val="262B30"/>
          <w:sz w:val="20"/>
        </w:rPr>
        <w:t>Connect transformation investment to stronger service, adoption, decision quality, efficiency, and business capability.</w:t>
      </w:r>
    </w:p>
    <w:p>
      <w:pPr>
        <w:pStyle w:val="Heading1"/>
        <w:keepNext/>
        <w:pBdr>
          <w:bottom w:val="single" w:sz="10" w:space="4" w:color="A17F48"/>
        </w:pBdr>
      </w:pPr>
      <w:r>
        <w:t>SELECTED ENTERPRISE IMPACT</w:t>
      </w:r>
    </w:p>
    <w:p>
      <w:pPr>
        <w:spacing w:after="100" w:line="264" w:lineRule="auto"/>
      </w:pPr>
      <w:r>
        <w:rPr>
          <w:rFonts w:ascii="Arial" w:hAnsi="Arial"/>
          <w:b w:val="0"/>
          <w:i w:val="0"/>
          <w:color w:val="262B30"/>
          <w:sz w:val="20"/>
        </w:rPr>
        <w:t>Led recovery and modernization of a delayed, over-budget Salesforce transformation supporting approximately 1,300 users.</w:t>
      </w:r>
    </w:p>
    <w:p>
      <w:pPr>
        <w:spacing w:after="100" w:line="264" w:lineRule="auto"/>
      </w:pPr>
      <w:r>
        <w:rPr>
          <w:rFonts w:ascii="Arial" w:hAnsi="Arial"/>
          <w:b w:val="0"/>
          <w:i w:val="0"/>
          <w:color w:val="262B30"/>
          <w:sz w:val="20"/>
        </w:rPr>
        <w:t>Led a connected-campus transformation spanning CRM, service, analytics, portals, marketing, and integration with an approximately 100-person delivery organization and multiple partners.</w:t>
      </w:r>
    </w:p>
    <w:p>
      <w:pPr>
        <w:spacing w:after="100" w:line="264" w:lineRule="auto"/>
      </w:pPr>
      <w:r>
        <w:rPr>
          <w:rFonts w:ascii="Arial" w:hAnsi="Arial"/>
          <w:b w:val="0"/>
          <w:i w:val="0"/>
          <w:color w:val="262B30"/>
          <w:sz w:val="20"/>
        </w:rPr>
        <w:t>Led complex enterprise programs across financial services, automotive, manufacturing, energy, higher education, and travel.</w:t>
      </w:r>
    </w:p>
    <w:p>
      <w:pPr>
        <w:spacing w:after="100" w:line="264" w:lineRule="auto"/>
      </w:pPr>
      <w:r>
        <w:rPr>
          <w:rFonts w:ascii="Arial" w:hAnsi="Arial"/>
          <w:b w:val="0"/>
          <w:i w:val="0"/>
          <w:color w:val="262B30"/>
          <w:sz w:val="20"/>
        </w:rPr>
        <w:t>Designed and led AI, Agentforce, automation, integration, and executive transformation initiatives focused on governed adoption and measurable value.</w:t>
      </w:r>
    </w:p>
    <w:p>
      <w:pPr>
        <w:pStyle w:val="Heading1"/>
        <w:keepNext/>
        <w:pBdr>
          <w:bottom w:val="single" w:sz="10" w:space="4" w:color="A17F48"/>
        </w:pBdr>
      </w:pPr>
      <w:r>
        <w:t>PROFESSIONAL EXPERIENCE</w:t>
      </w:r>
    </w:p>
    <w:p>
      <w:pPr>
        <w:keepNext/>
        <w:spacing w:before="80" w:after="20"/>
      </w:pPr>
      <w:r>
        <w:rPr>
          <w:rFonts w:ascii="Arial" w:hAnsi="Arial"/>
          <w:b/>
          <w:i w:val="0"/>
          <w:color w:val="0B1F33"/>
          <w:sz w:val="21"/>
        </w:rPr>
        <w:t>Executive Customer Success Manager / Forward Deployed Engineer</w:t>
      </w:r>
      <w:r>
        <w:rPr>
          <w:rFonts w:ascii="Arial" w:hAnsi="Arial"/>
          <w:b w:val="0"/>
          <w:i w:val="0"/>
          <w:color w:val="5E6469"/>
          <w:sz w:val="18"/>
        </w:rPr>
        <w:t xml:space="preserve">  |  May 2025–Present</w:t>
      </w:r>
    </w:p>
    <w:p>
      <w:pPr>
        <w:keepNext w:val="0"/>
        <w:spacing w:after="120"/>
      </w:pPr>
      <w:r>
        <w:rPr>
          <w:rFonts w:ascii="Arial" w:hAnsi="Arial"/>
          <w:b/>
          <w:i w:val="0"/>
          <w:color w:val="A17F48"/>
          <w:sz w:val="19"/>
        </w:rPr>
        <w:t>Uptima</w:t>
      </w:r>
    </w:p>
    <w:p>
      <w:pPr>
        <w:keepNext/>
        <w:spacing w:before="80" w:after="20"/>
      </w:pPr>
      <w:r>
        <w:rPr>
          <w:rFonts w:ascii="Arial" w:hAnsi="Arial"/>
          <w:b/>
          <w:i w:val="0"/>
          <w:color w:val="0B1F33"/>
          <w:sz w:val="21"/>
        </w:rPr>
        <w:t>Senior Engagement and Delivery</w:t>
      </w:r>
      <w:r>
        <w:rPr>
          <w:rFonts w:ascii="Arial" w:hAnsi="Arial"/>
          <w:b w:val="0"/>
          <w:i w:val="0"/>
          <w:color w:val="5E6469"/>
          <w:sz w:val="18"/>
        </w:rPr>
        <w:t xml:space="preserve">  |  January 2025–May 2025</w:t>
      </w:r>
    </w:p>
    <w:p>
      <w:pPr>
        <w:keepNext w:val="0"/>
        <w:spacing w:after="120"/>
      </w:pPr>
      <w:r>
        <w:rPr>
          <w:rFonts w:ascii="Arial" w:hAnsi="Arial"/>
          <w:b/>
          <w:i w:val="0"/>
          <w:color w:val="A17F48"/>
          <w:sz w:val="19"/>
        </w:rPr>
        <w:t>NeuraFlash</w:t>
      </w:r>
    </w:p>
    <w:p>
      <w:pPr>
        <w:keepNext/>
        <w:spacing w:before="80" w:after="20"/>
      </w:pPr>
      <w:r>
        <w:rPr>
          <w:rFonts w:ascii="Arial" w:hAnsi="Arial"/>
          <w:b/>
          <w:i w:val="0"/>
          <w:color w:val="0B1F33"/>
          <w:sz w:val="21"/>
        </w:rPr>
        <w:t>Director, Salesforce Platform</w:t>
      </w:r>
      <w:r>
        <w:rPr>
          <w:rFonts w:ascii="Arial" w:hAnsi="Arial"/>
          <w:b w:val="0"/>
          <w:i w:val="0"/>
          <w:color w:val="5E6469"/>
          <w:sz w:val="18"/>
        </w:rPr>
        <w:t xml:space="preserve">  |  December 2023–November 2024</w:t>
      </w:r>
    </w:p>
    <w:p>
      <w:pPr>
        <w:keepNext/>
        <w:spacing w:after="40"/>
      </w:pPr>
      <w:r>
        <w:rPr>
          <w:rFonts w:ascii="Arial" w:hAnsi="Arial"/>
          <w:b/>
          <w:i w:val="0"/>
          <w:color w:val="A17F48"/>
          <w:sz w:val="19"/>
        </w:rPr>
        <w:t>Republic Finance</w:t>
      </w:r>
    </w:p>
    <w:p>
      <w:pPr>
        <w:spacing w:after="120" w:line="264" w:lineRule="auto"/>
      </w:pPr>
      <w:r>
        <w:rPr>
          <w:rFonts w:ascii="Arial" w:hAnsi="Arial"/>
          <w:b w:val="0"/>
          <w:i w:val="0"/>
          <w:color w:val="262B30"/>
          <w:sz w:val="20"/>
        </w:rPr>
        <w:t>Led recovery and modernization of a large-scale Salesforce transformation supporting approximately 1,300 users. Reset governance, architecture, DevOps, vendor strategy, and delivery controls while advancing Service Cloud, Financial Services Cloud, OmniStudio, MuleSoft, Snowflake, and enterprise integration capabilities.</w:t>
      </w:r>
    </w:p>
    <w:p>
      <w:pPr>
        <w:keepNext/>
        <w:spacing w:before="80" w:after="20"/>
      </w:pPr>
      <w:r>
        <w:rPr>
          <w:rFonts w:ascii="Arial" w:hAnsi="Arial"/>
          <w:b/>
          <w:i w:val="0"/>
          <w:color w:val="0B1F33"/>
          <w:sz w:val="21"/>
        </w:rPr>
        <w:t>Engagement Manager, Salesforce Professional Services</w:t>
      </w:r>
      <w:r>
        <w:rPr>
          <w:rFonts w:ascii="Arial" w:hAnsi="Arial"/>
          <w:b w:val="0"/>
          <w:i w:val="0"/>
          <w:color w:val="5E6469"/>
          <w:sz w:val="18"/>
        </w:rPr>
        <w:t xml:space="preserve">  |  October 2019–December 2023</w:t>
      </w:r>
    </w:p>
    <w:p>
      <w:pPr>
        <w:keepNext/>
        <w:spacing w:after="40"/>
      </w:pPr>
      <w:r>
        <w:rPr>
          <w:rFonts w:ascii="Arial" w:hAnsi="Arial"/>
          <w:b/>
          <w:i w:val="0"/>
          <w:color w:val="A17F48"/>
          <w:sz w:val="19"/>
        </w:rPr>
        <w:t>Salesforce</w:t>
      </w:r>
    </w:p>
    <w:p>
      <w:pPr>
        <w:spacing w:after="120" w:line="264" w:lineRule="auto"/>
      </w:pPr>
      <w:r>
        <w:rPr>
          <w:rFonts w:ascii="Arial" w:hAnsi="Arial"/>
          <w:b w:val="0"/>
          <w:i w:val="0"/>
          <w:color w:val="262B30"/>
          <w:sz w:val="20"/>
        </w:rPr>
        <w:t>Led complex enterprise transformation programs, executive stakeholders, delivery teams, partners, risk, budgets, and roadmaps across multiple industries and multi-cloud Salesforce environments.</w:t>
      </w:r>
    </w:p>
    <w:p>
      <w:pPr>
        <w:pStyle w:val="Heading1"/>
        <w:keepNext/>
        <w:pBdr>
          <w:bottom w:val="single" w:sz="10" w:space="4" w:color="A17F48"/>
        </w:pBdr>
      </w:pPr>
      <w:r>
        <w:t>PROFESSIONAL EXPERIENCE, CONTINUED</w:t>
      </w:r>
    </w:p>
    <w:p>
      <w:pPr>
        <w:keepNext/>
        <w:spacing w:before="80" w:after="20"/>
      </w:pPr>
      <w:r>
        <w:rPr>
          <w:rFonts w:ascii="Arial" w:hAnsi="Arial"/>
          <w:b/>
          <w:i w:val="0"/>
          <w:color w:val="0B1F33"/>
          <w:sz w:val="21"/>
        </w:rPr>
        <w:t>Director, CRM Strategy</w:t>
      </w:r>
      <w:r>
        <w:rPr>
          <w:rFonts w:ascii="Arial" w:hAnsi="Arial"/>
          <w:b w:val="0"/>
          <w:i w:val="0"/>
          <w:color w:val="5E6469"/>
          <w:sz w:val="18"/>
        </w:rPr>
        <w:t xml:space="preserve">  |  August 2018–September 2019</w:t>
      </w:r>
    </w:p>
    <w:p>
      <w:pPr>
        <w:keepNext w:val="0"/>
        <w:spacing w:after="120"/>
      </w:pPr>
      <w:r>
        <w:rPr>
          <w:rFonts w:ascii="Arial" w:hAnsi="Arial"/>
          <w:b/>
          <w:i w:val="0"/>
          <w:color w:val="A17F48"/>
          <w:sz w:val="19"/>
        </w:rPr>
        <w:t>Ameritas Financial</w:t>
      </w:r>
    </w:p>
    <w:p>
      <w:pPr>
        <w:keepNext/>
        <w:spacing w:before="80" w:after="20"/>
      </w:pPr>
      <w:r>
        <w:rPr>
          <w:rFonts w:ascii="Arial" w:hAnsi="Arial"/>
          <w:b/>
          <w:i w:val="0"/>
          <w:color w:val="0B1F33"/>
          <w:sz w:val="21"/>
        </w:rPr>
        <w:t>Director, PMO</w:t>
      </w:r>
      <w:r>
        <w:rPr>
          <w:rFonts w:ascii="Arial" w:hAnsi="Arial"/>
          <w:b w:val="0"/>
          <w:i w:val="0"/>
          <w:color w:val="5E6469"/>
          <w:sz w:val="18"/>
        </w:rPr>
        <w:t xml:space="preserve">  |  July 2013–July 2018</w:t>
      </w:r>
    </w:p>
    <w:p>
      <w:pPr>
        <w:keepNext/>
        <w:spacing w:after="40"/>
      </w:pPr>
      <w:r>
        <w:rPr>
          <w:rFonts w:ascii="Arial" w:hAnsi="Arial"/>
          <w:b/>
          <w:i w:val="0"/>
          <w:color w:val="A17F48"/>
          <w:sz w:val="19"/>
        </w:rPr>
        <w:t>Bellevue University</w:t>
      </w:r>
    </w:p>
    <w:p>
      <w:pPr>
        <w:spacing w:after="120" w:line="264" w:lineRule="auto"/>
      </w:pPr>
      <w:r>
        <w:rPr>
          <w:rFonts w:ascii="Arial" w:hAnsi="Arial"/>
          <w:b w:val="0"/>
          <w:i w:val="0"/>
          <w:color w:val="262B30"/>
          <w:sz w:val="20"/>
        </w:rPr>
        <w:t>Led a connected-campus transformation spanning CRM, service, analytics, portals, marketing, and integration. Coordinated an approximately 100-person delivery organization and multiple partners while supporting substantial enrollment growth and measurable institutional outcomes.</w:t>
      </w:r>
    </w:p>
    <w:p>
      <w:pPr>
        <w:keepNext/>
        <w:spacing w:before="80" w:after="20"/>
      </w:pPr>
      <w:r>
        <w:rPr>
          <w:rFonts w:ascii="Arial" w:hAnsi="Arial"/>
          <w:b/>
          <w:i w:val="0"/>
          <w:color w:val="0B1F33"/>
          <w:sz w:val="21"/>
        </w:rPr>
        <w:t>Founder, Managing Partner, and CIO</w:t>
      </w:r>
      <w:r>
        <w:rPr>
          <w:rFonts w:ascii="Arial" w:hAnsi="Arial"/>
          <w:b w:val="0"/>
          <w:i w:val="0"/>
          <w:color w:val="5E6469"/>
          <w:sz w:val="18"/>
        </w:rPr>
        <w:t xml:space="preserve">  |  March 1996–January 2014</w:t>
      </w:r>
    </w:p>
    <w:p>
      <w:pPr>
        <w:keepNext w:val="0"/>
        <w:spacing w:after="120"/>
      </w:pPr>
      <w:r>
        <w:rPr>
          <w:rFonts w:ascii="Arial" w:hAnsi="Arial"/>
          <w:b/>
          <w:i w:val="0"/>
          <w:color w:val="A17F48"/>
          <w:sz w:val="19"/>
        </w:rPr>
        <w:t>Medigrafix</w:t>
      </w:r>
    </w:p>
    <w:p>
      <w:pPr>
        <w:spacing w:after="160" w:line="264" w:lineRule="auto"/>
      </w:pPr>
      <w:r>
        <w:rPr>
          <w:rFonts w:ascii="Arial" w:hAnsi="Arial"/>
          <w:b w:val="0"/>
          <w:i w:val="0"/>
          <w:color w:val="262B30"/>
          <w:sz w:val="20"/>
        </w:rPr>
        <w:t>The documented chronology includes an overlap between the Bellevue University and Medigrafix roles.</w:t>
      </w:r>
    </w:p>
    <w:p>
      <w:pPr>
        <w:pStyle w:val="Heading1"/>
        <w:keepNext/>
        <w:pBdr>
          <w:bottom w:val="single" w:sz="10" w:space="4" w:color="A17F48"/>
        </w:pBdr>
      </w:pPr>
      <w:r>
        <w:t>EDUCATION</w:t>
      </w:r>
    </w:p>
    <w:p>
      <w:pPr>
        <w:spacing w:after="100" w:line="264" w:lineRule="auto"/>
      </w:pPr>
      <w:r>
        <w:rPr>
          <w:rFonts w:ascii="Arial" w:hAnsi="Arial"/>
          <w:b/>
          <w:i w:val="0"/>
          <w:color w:val="0B1F33"/>
          <w:sz w:val="20"/>
        </w:rPr>
        <w:t xml:space="preserve">Doctor of Business Administration — </w:t>
      </w:r>
      <w:r>
        <w:rPr>
          <w:rFonts w:ascii="Arial" w:hAnsi="Arial"/>
          <w:b w:val="0"/>
          <w:i w:val="0"/>
          <w:color w:val="262B30"/>
          <w:sz w:val="20"/>
        </w:rPr>
        <w:t>Bellevue University</w:t>
      </w:r>
    </w:p>
    <w:p>
      <w:pPr>
        <w:spacing w:after="100" w:line="264" w:lineRule="auto"/>
      </w:pPr>
      <w:r>
        <w:rPr>
          <w:rFonts w:ascii="Arial" w:hAnsi="Arial"/>
          <w:b/>
          <w:i w:val="0"/>
          <w:color w:val="0B1F33"/>
          <w:sz w:val="20"/>
        </w:rPr>
        <w:t xml:space="preserve">Status — </w:t>
      </w:r>
      <w:r>
        <w:rPr>
          <w:rFonts w:ascii="Arial" w:hAnsi="Arial"/>
          <w:b w:val="0"/>
          <w:i w:val="0"/>
          <w:color w:val="262B30"/>
          <w:sz w:val="20"/>
        </w:rPr>
        <w:t>In Progress</w:t>
      </w:r>
    </w:p>
    <w:p>
      <w:pPr>
        <w:spacing w:after="100" w:line="264" w:lineRule="auto"/>
      </w:pPr>
      <w:r>
        <w:rPr>
          <w:rFonts w:ascii="Arial" w:hAnsi="Arial"/>
          <w:b/>
          <w:i w:val="0"/>
          <w:color w:val="0B1F33"/>
          <w:sz w:val="20"/>
        </w:rPr>
        <w:t xml:space="preserve">Master of Business Administration — </w:t>
      </w:r>
      <w:r>
        <w:rPr>
          <w:rFonts w:ascii="Arial" w:hAnsi="Arial"/>
          <w:b w:val="0"/>
          <w:i w:val="0"/>
          <w:color w:val="262B30"/>
          <w:sz w:val="20"/>
        </w:rPr>
        <w:t>Bellevue University</w:t>
      </w:r>
    </w:p>
    <w:p>
      <w:pPr>
        <w:spacing w:after="100" w:line="264" w:lineRule="auto"/>
      </w:pPr>
      <w:r>
        <w:rPr>
          <w:rFonts w:ascii="Arial" w:hAnsi="Arial"/>
          <w:b/>
          <w:i w:val="0"/>
          <w:color w:val="0B1F33"/>
          <w:sz w:val="20"/>
        </w:rPr>
        <w:t xml:space="preserve">Bachelor of Science — </w:t>
      </w:r>
      <w:r>
        <w:rPr>
          <w:rFonts w:ascii="Arial" w:hAnsi="Arial"/>
          <w:b w:val="0"/>
          <w:i w:val="0"/>
          <w:color w:val="262B30"/>
          <w:sz w:val="20"/>
        </w:rPr>
        <w:t>University of Nebraska Omaha</w:t>
      </w:r>
    </w:p>
    <w:p>
      <w:pPr>
        <w:pStyle w:val="Heading1"/>
        <w:keepNext/>
        <w:pBdr>
          <w:bottom w:val="single" w:sz="10" w:space="4" w:color="A17F48"/>
        </w:pBdr>
      </w:pPr>
      <w:r>
        <w:t>SALESFORCE CERTIFICATIONS</w:t>
      </w:r>
    </w:p>
    <w:p>
      <w:pPr>
        <w:spacing w:after="100" w:line="264" w:lineRule="auto"/>
      </w:pPr>
      <w:r>
        <w:rPr>
          <w:rFonts w:ascii="Arial" w:hAnsi="Arial"/>
          <w:b w:val="0"/>
          <w:i w:val="0"/>
          <w:color w:val="262B30"/>
          <w:sz w:val="20"/>
        </w:rPr>
        <w:t>Salesforce Certified Administrator; Salesforce Certified Platform Foundations; Salesforce Certified Sales Foundations; Salesforce Certified Service Cloud Consultant; Salesforce Certified Agentforce Specialist; Salesforce Certified Data 360 Consultant; Salesforce Certified MuleSoft Integration Foundations.</w:t>
      </w:r>
    </w:p>
    <w:p>
      <w:pPr>
        <w:pStyle w:val="Heading1"/>
        <w:keepNext/>
        <w:pBdr>
          <w:bottom w:val="single" w:sz="10" w:space="4" w:color="A17F48"/>
        </w:pBdr>
      </w:pPr>
      <w:r>
        <w:t>PROFESSIONAL DISTINCTIONS</w:t>
      </w:r>
    </w:p>
    <w:p>
      <w:pPr>
        <w:spacing w:after="100" w:line="264" w:lineRule="auto"/>
      </w:pPr>
      <w:r>
        <w:rPr>
          <w:rFonts w:ascii="Arial" w:hAnsi="Arial"/>
          <w:b w:val="0"/>
          <w:i w:val="0"/>
          <w:color w:val="262B30"/>
          <w:sz w:val="20"/>
        </w:rPr>
        <w:t>Salesforce Forward Deployed Engineer; Agentblazer Legend 2026.</w:t>
      </w:r>
    </w:p>
    <w:p>
      <w:pPr>
        <w:pStyle w:val="Heading1"/>
        <w:keepNext/>
        <w:pBdr>
          <w:bottom w:val="single" w:sz="10" w:space="4" w:color="A17F48"/>
        </w:pBdr>
      </w:pPr>
      <w:r>
        <w:t>SUPERBADGES</w:t>
      </w:r>
    </w:p>
    <w:p>
      <w:pPr>
        <w:spacing w:after="100" w:line="264" w:lineRule="auto"/>
      </w:pPr>
      <w:r>
        <w:rPr>
          <w:rFonts w:ascii="Arial" w:hAnsi="Arial"/>
          <w:b w:val="0"/>
          <w:i w:val="0"/>
          <w:color w:val="262B30"/>
          <w:sz w:val="20"/>
        </w:rPr>
        <w:t>Advanced Flow for Agentforce Superbadge; Apex for Agentforce Superbadge; Agentforce Service Superbadge; Prompt Builder Templates Superbadge; Financial Services Cloud Specialist Superbadge; Business Administration Specialist Superbadge.</w:t>
      </w:r>
    </w:p>
    <w:p>
      <w:pPr>
        <w:spacing w:after="100" w:line="264" w:lineRule="auto"/>
      </w:pPr>
      <w:r>
        <w:rPr>
          <w:rFonts w:ascii="Arial" w:hAnsi="Arial"/>
          <w:b/>
          <w:i w:val="0"/>
          <w:color w:val="0B1F33"/>
          <w:sz w:val="20"/>
        </w:rPr>
        <w:t xml:space="preserve">Retired Certifications — </w:t>
      </w:r>
      <w:r>
        <w:rPr>
          <w:rFonts w:ascii="Arial" w:hAnsi="Arial"/>
          <w:b w:val="0"/>
          <w:i w:val="0"/>
          <w:color w:val="262B30"/>
          <w:sz w:val="20"/>
        </w:rPr>
        <w:t>Salesforce Certified AI Associate — Retired.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037" w:right="1181" w:bottom="1037" w:left="1181" w:header="576" w:footer="57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right"/>
    </w:pPr>
    <w:r>
      <w:rPr>
        <w:rFonts w:ascii="Arial" w:hAnsi="Arial"/>
        <w:b w:val="0"/>
        <w:i w:val="0"/>
        <w:color w:val="5E6469"/>
        <w:sz w:val="16"/>
      </w:rPr>
      <w:t xml:space="preserve">Page </w:t>
    </w:r>
    <w:r>
      <w:fldChar w:fldCharType="begin"/>
      <w:instrText xml:space="preserve">PAGE</w:instrText>
      <w:fldChar w:fldCharType="separate"/>
      <w:t>1</w: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right"/>
    </w:pPr>
    <w:r>
      <w:rPr>
        <w:rFonts w:ascii="Arial" w:hAnsi="Arial"/>
        <w:b/>
        <w:i w:val="0"/>
        <w:color w:val="5E6469"/>
        <w:sz w:val="15"/>
      </w:rPr>
      <w:t>DAVID STOTT, MBA  |  EXECUTIVE RESUME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00" w:line="264" w:lineRule="auto"/>
    </w:pPr>
    <w:rPr>
      <w:rFonts w:ascii="Arial" w:hAnsi="Arial"/>
      <w:color w:val="262B30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 w:ascii="Arial" w:hAnsi="Arial"/>
      <w:b/>
      <w:bCs/>
      <w:color w:val="0B1F33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David Stott Executive Resume</dc:title>
  <dc:subject>Enterprise AI and Salesforce Transformation Executive</dc:subject>
  <dc:creator>David Stott</dc:creator>
  <cp:keywords>Enterprise AI, Salesforce transformation, enterprise architecture, executive leadership</cp:keywords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